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C6" w:rsidRPr="008D14FD" w:rsidRDefault="002C5CC6" w:rsidP="00C2067A">
      <w:pPr>
        <w:spacing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D14FD">
        <w:rPr>
          <w:rFonts w:ascii="Times New Roman" w:hAnsi="Times New Roman" w:cs="Times New Roman"/>
          <w:b/>
          <w:sz w:val="24"/>
          <w:szCs w:val="24"/>
        </w:rPr>
        <w:t xml:space="preserve">Алекситимия </w:t>
      </w:r>
      <w:r w:rsidRPr="008D14FD">
        <w:rPr>
          <w:rFonts w:ascii="Times New Roman" w:hAnsi="Times New Roman" w:cs="Times New Roman"/>
          <w:sz w:val="24"/>
          <w:szCs w:val="24"/>
        </w:rPr>
        <w:t xml:space="preserve">рассматривается как некая </w:t>
      </w:r>
      <w:r w:rsidRPr="008D14FD">
        <w:rPr>
          <w:rFonts w:ascii="Times New Roman" w:eastAsia="MS Mincho" w:hAnsi="Times New Roman" w:cs="Times New Roman"/>
          <w:bCs/>
          <w:sz w:val="24"/>
          <w:szCs w:val="24"/>
        </w:rPr>
        <w:t>совокупность</w:t>
      </w:r>
      <w:r w:rsidRPr="008D14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D14FD">
        <w:rPr>
          <w:rFonts w:ascii="Times New Roman" w:hAnsi="Times New Roman" w:cs="Times New Roman"/>
          <w:bCs/>
          <w:sz w:val="24"/>
          <w:szCs w:val="24"/>
        </w:rPr>
        <w:t>признаков, характер</w:t>
      </w:r>
      <w:r w:rsidRPr="008D14FD">
        <w:rPr>
          <w:rFonts w:ascii="Times New Roman" w:eastAsia="MS Mincho" w:hAnsi="Times New Roman" w:cs="Times New Roman"/>
          <w:bCs/>
          <w:sz w:val="24"/>
          <w:szCs w:val="24"/>
        </w:rPr>
        <w:t>изующих</w:t>
      </w:r>
      <w:r w:rsidRPr="008D14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D14FD">
        <w:rPr>
          <w:rFonts w:ascii="Times New Roman" w:hAnsi="Times New Roman" w:cs="Times New Roman"/>
          <w:bCs/>
          <w:sz w:val="24"/>
          <w:szCs w:val="24"/>
        </w:rPr>
        <w:t>психический склад индивидов</w:t>
      </w:r>
      <w:r w:rsidRPr="008D14FD">
        <w:rPr>
          <w:rFonts w:ascii="Times New Roman" w:eastAsia="MS Mincho" w:hAnsi="Times New Roman" w:cs="Times New Roman"/>
          <w:sz w:val="24"/>
          <w:szCs w:val="24"/>
        </w:rPr>
        <w:t>,</w:t>
      </w:r>
      <w:r w:rsidRPr="008D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4FD">
        <w:rPr>
          <w:rFonts w:ascii="Times New Roman" w:hAnsi="Times New Roman" w:cs="Times New Roman"/>
          <w:sz w:val="24"/>
          <w:szCs w:val="24"/>
        </w:rPr>
        <w:t>предрасполагающий их к специфически психосоматич</w:t>
      </w:r>
      <w:r w:rsidRPr="008D14FD">
        <w:rPr>
          <w:rFonts w:ascii="Times New Roman" w:eastAsia="MS Mincho" w:hAnsi="Times New Roman" w:cs="Times New Roman"/>
          <w:sz w:val="24"/>
          <w:szCs w:val="24"/>
        </w:rPr>
        <w:t>еским</w:t>
      </w:r>
      <w:r w:rsidRPr="008D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4FD">
        <w:rPr>
          <w:rFonts w:ascii="Times New Roman" w:hAnsi="Times New Roman" w:cs="Times New Roman"/>
          <w:sz w:val="24"/>
          <w:szCs w:val="24"/>
        </w:rPr>
        <w:t>заболеваниям. В последние годы ее рассматривают как фактор риска развития многих заб</w:t>
      </w:r>
      <w:r w:rsidRPr="008D14FD">
        <w:rPr>
          <w:rFonts w:ascii="Times New Roman" w:eastAsia="MS Mincho" w:hAnsi="Times New Roman" w:cs="Times New Roman"/>
          <w:sz w:val="24"/>
          <w:szCs w:val="24"/>
        </w:rPr>
        <w:t>олеваний.</w:t>
      </w:r>
    </w:p>
    <w:p w:rsidR="00C2420E" w:rsidRPr="008D14FD" w:rsidRDefault="00C2420E" w:rsidP="00C2420E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8D14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Торонтская</w:t>
      </w:r>
      <w:proofErr w:type="spellEnd"/>
      <w:r w:rsidRPr="008D14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8D14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алекситимическая</w:t>
      </w:r>
      <w:proofErr w:type="spellEnd"/>
      <w:r w:rsidRPr="008D14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шкала TAS-20-R.</w:t>
      </w:r>
    </w:p>
    <w:p w:rsidR="00C2420E" w:rsidRPr="008D14FD" w:rsidRDefault="00C2420E" w:rsidP="00C2420E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D14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2C5CC6" w:rsidRPr="008D14FD" w:rsidRDefault="002C5CC6" w:rsidP="002C5CC6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Торонтская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Алекситимическая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Шкала (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Toronto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Alexithymia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Scale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TAS) – </w:t>
      </w:r>
      <w:proofErr w:type="gram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клинический</w:t>
      </w:r>
      <w:proofErr w:type="gram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опросник, предназначенный для изучения такой личностной характеристики, как алекситимия, заключающейся в снижении или отсутствии способности к распознаванию, дифференцированию и выражению эмоциональных переживаний и телесных ощущений. Иногда в это понятие также включают низкую эмоциональную чувствительность в отношении других людей, низкую эмоциональную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вовлечённость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 обыденной жизни. </w:t>
      </w:r>
    </w:p>
    <w:p w:rsidR="002C5CC6" w:rsidRPr="008D14FD" w:rsidRDefault="002C5CC6" w:rsidP="002C5CC6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Первая версия опросника TAS-26 была разработана в 1985 году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Грэмом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Тейлором с соавторами (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Graeme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J.</w:t>
      </w:r>
      <w:proofErr w:type="gram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Taylor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D.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Ryan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R. </w:t>
      </w:r>
      <w:proofErr w:type="spellStart"/>
      <w:proofErr w:type="gram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Michael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Bagby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), методика содержит 26 вопросов и одну шкалу.</w:t>
      </w:r>
      <w:proofErr w:type="gram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Русскоязычная адаптация сделана в НИПНИ им. Бехтерева (Д. Б.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Ересько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Г. Л.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Исурина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Е. В.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Кайдановская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Б. Д.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Карвасарский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Э. Б. Карпова, Т. Г.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Корепанова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Г. С. Крылова, А. У. Тархан, Е. И.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Чехлатый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В. Б. Шифрин). </w:t>
      </w:r>
    </w:p>
    <w:p w:rsidR="002C5CC6" w:rsidRPr="008D14FD" w:rsidRDefault="002C5CC6" w:rsidP="002C5CC6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дальнейшем авторы опросника выявили ряд недостатков, и в 1994 году выпустили обновленную версию TAS-20, содержащую 20 вопросов и три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подшкалы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трудность идентификации чувств, трудность описания чувств, внешне-ориентированное мышление. </w:t>
      </w:r>
      <w:proofErr w:type="gram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Адаптация методики проведена в 2010 году в Московском НИИ Психиатрии (Е. Г. Старостина, Г. Д.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Тэйлор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Л. К.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Квилти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А. Е. Бобров, Е. Н. Мошняга, Н. В. Пузырева, М. А. Боброва, М. Г. Ивашкина, М. Н.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Кривчикова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Е. П. </w:t>
      </w:r>
      <w:proofErr w:type="spell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Шаврикова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Р. M.</w:t>
      </w:r>
      <w:proofErr w:type="gram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Бэгби</w:t>
      </w:r>
      <w:proofErr w:type="spell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).</w:t>
      </w:r>
      <w:proofErr w:type="gramEnd"/>
    </w:p>
    <w:p w:rsidR="002C5CC6" w:rsidRPr="008D14FD" w:rsidRDefault="002C5CC6" w:rsidP="002C5CC6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C2067A">
      <w:pPr>
        <w:pStyle w:val="22"/>
        <w:shd w:val="clear" w:color="auto" w:fill="auto"/>
        <w:tabs>
          <w:tab w:val="left" w:pos="910"/>
        </w:tabs>
        <w:spacing w:line="240" w:lineRule="auto"/>
        <w:ind w:firstLine="567"/>
        <w:rPr>
          <w:b/>
          <w:sz w:val="24"/>
          <w:szCs w:val="24"/>
        </w:rPr>
      </w:pPr>
      <w:r w:rsidRPr="008D14FD">
        <w:rPr>
          <w:b/>
          <w:sz w:val="24"/>
          <w:szCs w:val="24"/>
        </w:rPr>
        <w:t>Подсчет результатов</w:t>
      </w:r>
    </w:p>
    <w:p w:rsidR="00132767" w:rsidRPr="008D14FD" w:rsidRDefault="00132767" w:rsidP="00132767">
      <w:pPr>
        <w:pStyle w:val="22"/>
        <w:shd w:val="clear" w:color="auto" w:fill="auto"/>
        <w:tabs>
          <w:tab w:val="left" w:pos="910"/>
        </w:tabs>
        <w:spacing w:line="240" w:lineRule="auto"/>
        <w:ind w:firstLine="567"/>
        <w:rPr>
          <w:sz w:val="24"/>
          <w:szCs w:val="24"/>
        </w:rPr>
      </w:pPr>
      <w:r w:rsidRPr="008D14FD">
        <w:rPr>
          <w:sz w:val="24"/>
          <w:szCs w:val="24"/>
        </w:rPr>
        <w:t xml:space="preserve">В данной реализации теста значение TAS </w:t>
      </w:r>
    </w:p>
    <w:p w:rsidR="008D14FD" w:rsidRPr="008D14FD" w:rsidRDefault="00132767" w:rsidP="00132767">
      <w:pPr>
        <w:pStyle w:val="22"/>
        <w:numPr>
          <w:ilvl w:val="0"/>
          <w:numId w:val="3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</w:rPr>
      </w:pPr>
      <w:r w:rsidRPr="008D14FD">
        <w:rPr>
          <w:sz w:val="24"/>
          <w:szCs w:val="24"/>
        </w:rPr>
        <w:t xml:space="preserve">от 20 до 51 считается нормальным, </w:t>
      </w:r>
    </w:p>
    <w:p w:rsidR="00132767" w:rsidRPr="008D14FD" w:rsidRDefault="00132767" w:rsidP="00132767">
      <w:pPr>
        <w:pStyle w:val="22"/>
        <w:numPr>
          <w:ilvl w:val="0"/>
          <w:numId w:val="3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</w:rPr>
      </w:pPr>
      <w:r w:rsidRPr="008D14FD">
        <w:rPr>
          <w:sz w:val="24"/>
          <w:szCs w:val="24"/>
        </w:rPr>
        <w:t xml:space="preserve">от 52 до 60 - повышенным, </w:t>
      </w:r>
    </w:p>
    <w:p w:rsidR="00132767" w:rsidRPr="008D14FD" w:rsidRDefault="00132767" w:rsidP="00132767">
      <w:pPr>
        <w:pStyle w:val="22"/>
        <w:numPr>
          <w:ilvl w:val="0"/>
          <w:numId w:val="3"/>
        </w:numPr>
        <w:shd w:val="clear" w:color="auto" w:fill="auto"/>
        <w:tabs>
          <w:tab w:val="left" w:pos="910"/>
        </w:tabs>
        <w:spacing w:line="240" w:lineRule="auto"/>
        <w:rPr>
          <w:sz w:val="24"/>
          <w:szCs w:val="24"/>
        </w:rPr>
      </w:pPr>
      <w:r w:rsidRPr="008D14FD">
        <w:rPr>
          <w:sz w:val="24"/>
          <w:szCs w:val="24"/>
        </w:rPr>
        <w:t xml:space="preserve">от 61 и выше - высоким. </w:t>
      </w:r>
    </w:p>
    <w:p w:rsidR="00132767" w:rsidRPr="008D14FD" w:rsidRDefault="00132767" w:rsidP="002C5CC6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2C5CC6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2C5CC6" w:rsidRPr="008D14FD" w:rsidRDefault="002C5CC6" w:rsidP="002C5CC6">
      <w:pPr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4FD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Инструкция</w:t>
      </w:r>
      <w:r w:rsidRPr="008D14FD">
        <w:rPr>
          <w:rFonts w:ascii="Times New Roman" w:eastAsia="MS Mincho" w:hAnsi="Times New Roman" w:cs="Times New Roman"/>
          <w:sz w:val="24"/>
          <w:szCs w:val="24"/>
          <w:u w:val="single"/>
        </w:rPr>
        <w:t>.</w:t>
      </w:r>
      <w:r w:rsidRPr="008D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20E" w:rsidRPr="008D14FD" w:rsidRDefault="00C2420E" w:rsidP="002C5CC6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Выразите свое согласие или несогласие с каждым из следующих утверждений этой шкалы, обведя соответствующую цифру. Против каждого утверждения обводите только один ответ: </w:t>
      </w:r>
    </w:p>
    <w:p w:rsidR="00C2420E" w:rsidRPr="008D14FD" w:rsidRDefault="00C2420E" w:rsidP="00C2420E">
      <w:pPr>
        <w:pStyle w:val="a3"/>
        <w:numPr>
          <w:ilvl w:val="0"/>
          <w:numId w:val="1"/>
        </w:num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обведите 1, если Вы СОВЕРШЕННО НЕ СОГЛАСНЫ </w:t>
      </w:r>
    </w:p>
    <w:p w:rsidR="00C2420E" w:rsidRPr="008D14FD" w:rsidRDefault="00C2420E" w:rsidP="00C2420E">
      <w:pPr>
        <w:pStyle w:val="a3"/>
        <w:numPr>
          <w:ilvl w:val="0"/>
          <w:numId w:val="1"/>
        </w:num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обведите 2, если Вы ОТЧАСТИ НЕ СОГЛАСНЫ </w:t>
      </w:r>
    </w:p>
    <w:p w:rsidR="00C2420E" w:rsidRPr="008D14FD" w:rsidRDefault="00C2420E" w:rsidP="00C2420E">
      <w:pPr>
        <w:pStyle w:val="a3"/>
        <w:numPr>
          <w:ilvl w:val="0"/>
          <w:numId w:val="1"/>
        </w:num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обведите 3, если Вы не можете решить, согласны Вы или не согласны (НИ ТО, НИ ДРУГОЕ) </w:t>
      </w:r>
    </w:p>
    <w:p w:rsidR="00C2420E" w:rsidRPr="008D14FD" w:rsidRDefault="00C2420E" w:rsidP="00C2420E">
      <w:pPr>
        <w:pStyle w:val="a3"/>
        <w:numPr>
          <w:ilvl w:val="0"/>
          <w:numId w:val="1"/>
        </w:num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обведите 4, если Вы ОТЧАСТИ СОГЛАСНЫ </w:t>
      </w:r>
    </w:p>
    <w:p w:rsidR="00C2420E" w:rsidRPr="008D14FD" w:rsidRDefault="00C2420E" w:rsidP="00C2420E">
      <w:pPr>
        <w:pStyle w:val="a3"/>
        <w:numPr>
          <w:ilvl w:val="0"/>
          <w:numId w:val="1"/>
        </w:num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обведите 5, если Вы </w:t>
      </w:r>
      <w:proofErr w:type="gramStart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СОВЕРШЕННО СОГЛАСНЫ</w:t>
      </w:r>
      <w:proofErr w:type="gramEnd"/>
      <w:r w:rsidRPr="008D14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1661C" w:rsidRPr="008D14FD" w:rsidRDefault="0051661C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132767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9229A1" w:rsidRPr="008D14FD" w:rsidRDefault="009229A1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C2067A" w:rsidRPr="008D14FD" w:rsidRDefault="00C2067A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C2067A" w:rsidRPr="008D14FD" w:rsidRDefault="00C2067A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C2067A" w:rsidRPr="008D14FD" w:rsidRDefault="00C2067A" w:rsidP="0051661C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993AFA" w:rsidRPr="008D14FD" w:rsidRDefault="00132767" w:rsidP="0051661C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4FD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lastRenderedPageBreak/>
        <w:t xml:space="preserve"> Таблица 1. </w:t>
      </w:r>
      <w:r w:rsidR="0051661C" w:rsidRPr="008D14FD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Бланк</w:t>
      </w:r>
      <w:r w:rsidR="0051661C" w:rsidRPr="008D14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1661C" w:rsidRPr="008D14FD">
        <w:rPr>
          <w:rFonts w:ascii="Times New Roman" w:hAnsi="Times New Roman" w:cs="Times New Roman"/>
          <w:b/>
          <w:bCs/>
          <w:sz w:val="24"/>
          <w:szCs w:val="24"/>
          <w:u w:val="single"/>
        </w:rPr>
        <w:t>опросника</w:t>
      </w:r>
      <w:r w:rsidR="0078056F" w:rsidRPr="008D14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для испытуемого</w:t>
      </w:r>
    </w:p>
    <w:p w:rsidR="0078056F" w:rsidRPr="008D14FD" w:rsidRDefault="0078056F" w:rsidP="0051661C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207" w:type="dxa"/>
        <w:tblInd w:w="-71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822"/>
        <w:gridCol w:w="1473"/>
        <w:gridCol w:w="1284"/>
        <w:gridCol w:w="958"/>
        <w:gridCol w:w="1197"/>
        <w:gridCol w:w="1473"/>
      </w:tblGrid>
      <w:tr w:rsidR="00132767" w:rsidRPr="008D14FD" w:rsidTr="00296062">
        <w:trPr>
          <w:trHeight w:val="20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Совершенно не согласен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Отчасти не согласен</w:t>
            </w:r>
          </w:p>
        </w:tc>
        <w:tc>
          <w:tcPr>
            <w:tcW w:w="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 то, ни другое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Отчасти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Совершенно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согласен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Мне часто бывает трудно разобраться, какое чувство я испы</w:t>
            </w: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тываю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Мне трудно подбирать верные слова для своих чувств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 меня бывают такие ощущения в теле, в которых не могут разобраться даже врачи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Я легко могу описать свои чувства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Я предпочитаю анализировать проблемы, а не просто о них рассказывать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Когда я расстроен, я не знаю - то ли мне грустно, то ли я испуган, то ли злюсь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Ощущения в моем теле часто вызывают у меня недоумение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Скорее, я предпочту, чтобы все шло своим чередом, чем буду разбираться, почему вышло именно так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 меня бывают чувства, которые я не могу точно назвать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Очень важно отдавать себе отчет в своих эмоциях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Мне трудно описывать, какие чувства я испытываю к другим людям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Люди советуют мне больше говорить о своих чувствах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Я не знаю, что творится внутри меня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Часто я не знаю, почему я злюсь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Я предпочитаю разговаривать с людьми об их повседневных делах, а не об их чувствах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Я предпочитаю смотреть легкие, развлекательные програм</w:t>
            </w: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мы, а не психологические драмы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Мне трудно раскрывать свои самые сокровенные чувства, даже близким друзьям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Я могу чувствовать близость к другому человеку, даже когда мы </w:t>
            </w: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молчим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 При решении личных проблем я считаю полезным разобраться в своих чувствах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32767" w:rsidRPr="008D14FD" w:rsidTr="00296062">
        <w:trPr>
          <w:trHeight w:val="2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Пои</w:t>
            </w:r>
            <w:proofErr w:type="gramStart"/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скр</w:t>
            </w:r>
            <w:proofErr w:type="gramEnd"/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ытого смысла в фильмах или пьесах мешает получать удовольствие от них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296062" w:rsidRPr="008D14FD" w:rsidRDefault="00296062" w:rsidP="00296062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color w:val="FF0000"/>
          <w:sz w:val="24"/>
          <w:szCs w:val="24"/>
        </w:rPr>
      </w:pPr>
      <w:r w:rsidRPr="008D14FD">
        <w:rPr>
          <w:rFonts w:eastAsiaTheme="minorHAnsi"/>
          <w:color w:val="FF0000"/>
          <w:sz w:val="24"/>
          <w:szCs w:val="24"/>
        </w:rPr>
        <w:t>Оценка уровня алекситимии производится путем суммирования баллов, полученных за ответы на вопросы, согласно таб. (2).</w:t>
      </w:r>
    </w:p>
    <w:p w:rsidR="00296062" w:rsidRPr="008D14FD" w:rsidRDefault="00296062" w:rsidP="00296062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</w:p>
    <w:p w:rsidR="00132767" w:rsidRPr="008D14FD" w:rsidRDefault="00132767" w:rsidP="00132767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  <w:r w:rsidRPr="008D14FD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Таблица 2. Подсчет результатов</w:t>
      </w:r>
    </w:p>
    <w:p w:rsidR="00132767" w:rsidRPr="008D14FD" w:rsidRDefault="00132767" w:rsidP="0078056F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2356"/>
        <w:gridCol w:w="2541"/>
        <w:gridCol w:w="829"/>
      </w:tblGrid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прямых значениях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обратных значениях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идентификации чувств 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1, 3, 6, 7, 9, 13, 14 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описания чувств 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2, 11, 12, 17 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Экстернального</w:t>
            </w:r>
            <w:proofErr w:type="spellEnd"/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8, 15, 16, 20 </w:t>
            </w:r>
          </w:p>
        </w:tc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5, 10, 18, 19 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29A1" w:rsidRPr="008D14FD" w:rsidRDefault="009229A1" w:rsidP="00296062">
      <w:pPr>
        <w:tabs>
          <w:tab w:val="left" w:pos="91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</w:pPr>
    </w:p>
    <w:p w:rsidR="00C2420E" w:rsidRPr="008D14FD" w:rsidRDefault="00132767" w:rsidP="00296062">
      <w:pPr>
        <w:tabs>
          <w:tab w:val="left" w:pos="91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4FD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 xml:space="preserve">Таблица 3. </w:t>
      </w:r>
      <w:r w:rsidR="0078056F" w:rsidRPr="008D14FD">
        <w:rPr>
          <w:rFonts w:ascii="Times New Roman" w:eastAsia="MS Mincho" w:hAnsi="Times New Roman" w:cs="Times New Roman"/>
          <w:b/>
          <w:bCs/>
          <w:sz w:val="24"/>
          <w:szCs w:val="24"/>
          <w:u w:val="single"/>
        </w:rPr>
        <w:t>Бланк</w:t>
      </w:r>
      <w:r w:rsidR="0078056F" w:rsidRPr="008D14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8056F" w:rsidRPr="008D14FD">
        <w:rPr>
          <w:rFonts w:ascii="Times New Roman" w:hAnsi="Times New Roman" w:cs="Times New Roman"/>
          <w:b/>
          <w:bCs/>
          <w:sz w:val="24"/>
          <w:szCs w:val="24"/>
          <w:u w:val="single"/>
        </w:rPr>
        <w:t>опросника для представления</w:t>
      </w:r>
      <w:r w:rsidR="00296062" w:rsidRPr="008D14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результатов контрольной работы</w:t>
      </w:r>
    </w:p>
    <w:tbl>
      <w:tblPr>
        <w:tblW w:w="10349" w:type="dxa"/>
        <w:tblInd w:w="-57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392"/>
        <w:gridCol w:w="1488"/>
        <w:gridCol w:w="1583"/>
        <w:gridCol w:w="1159"/>
        <w:gridCol w:w="1254"/>
        <w:gridCol w:w="1473"/>
      </w:tblGrid>
      <w:tr w:rsidR="00C2420E" w:rsidRPr="008D14FD" w:rsidTr="00296062">
        <w:trPr>
          <w:trHeight w:val="20"/>
        </w:trPr>
        <w:tc>
          <w:tcPr>
            <w:tcW w:w="3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6062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Совершенно </w:t>
            </w:r>
          </w:p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96062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Отчасти </w:t>
            </w:r>
          </w:p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 то, ни другое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Отчасти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Совершенно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согласен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Мне часто бывает трудно разобраться, какое чувство я испы</w:t>
            </w: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тываю</w:t>
            </w:r>
          </w:p>
        </w:tc>
        <w:tc>
          <w:tcPr>
            <w:tcW w:w="14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Мне трудно подбирать верные слова для своих чувств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 меня бывают такие ощущения в теле, в которых не могут разобраться даже врачи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Я легко могу описать свои чувства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Я предпочитаю анализировать проблемы, а не просто о них рассказывать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Когда я расстроен, я не знаю - то ли мне грустно, то ли я испуган, то ли злюсь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Ощущения в моем теле часто вызывают у меня недоумение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Скорее, я предпочту, чтобы все шло своим чередом, чем буду разбираться, почему вышло именно так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У меня бывают чувства, которые я не могу точно назвать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Очень важно отдавать себе </w:t>
            </w: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отчет в своих эмоциях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Мне трудно описывать, какие чувства я испытываю к другим людям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Люди советуют мне больше говорить о своих чувствах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Я не знаю, что творится внутри меня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Часто я не знаю, почему я злюсь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Я предпочитаю разговаривать с людьми об их повседневных делах, а не об их чувствах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Я предпочитаю смотреть легкие, развлекательные програм</w:t>
            </w: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мы, а не психологические драмы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Мне трудно раскрывать свои самые сокровенные чувства, даже близким друзьям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Я могу чувствовать близость к другому человеку, даже когда мы молчим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При решении личных проблем я считаю полезным разобраться в своих чувствах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0E" w:rsidRPr="008D14FD" w:rsidTr="00296062">
        <w:trPr>
          <w:trHeight w:val="20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C2420E">
            <w:pPr>
              <w:tabs>
                <w:tab w:val="left" w:pos="91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Пои</w:t>
            </w:r>
            <w:proofErr w:type="gramStart"/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скр</w:t>
            </w:r>
            <w:proofErr w:type="gramEnd"/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ытого смысла в фильмах или пьесах мешает получать удовольствие от них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2420E" w:rsidRPr="008D14FD" w:rsidRDefault="00C2420E" w:rsidP="00132767">
            <w:pPr>
              <w:tabs>
                <w:tab w:val="left" w:pos="91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9229A1" w:rsidRPr="008D14FD" w:rsidRDefault="009229A1" w:rsidP="00132767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</w:p>
    <w:p w:rsidR="009229A1" w:rsidRPr="008D14FD" w:rsidRDefault="009229A1" w:rsidP="00132767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</w:p>
    <w:p w:rsidR="002C5CC6" w:rsidRPr="008D14FD" w:rsidRDefault="00132767" w:rsidP="00132767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  <w:r w:rsidRPr="008D14FD">
        <w:rPr>
          <w:rFonts w:eastAsia="MS Mincho"/>
          <w:b/>
          <w:bCs/>
          <w:sz w:val="24"/>
          <w:szCs w:val="24"/>
          <w:u w:val="single"/>
        </w:rPr>
        <w:t>Таблица 4. Представление результатов</w:t>
      </w:r>
    </w:p>
    <w:p w:rsidR="00132767" w:rsidRPr="008D14FD" w:rsidRDefault="002C5CC6" w:rsidP="002C5CC6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  <w:r w:rsidRPr="008D14FD">
        <w:rPr>
          <w:rFonts w:eastAsiaTheme="minorHAnsi"/>
          <w:sz w:val="24"/>
          <w:szCs w:val="24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829"/>
      </w:tblGrid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идентификации чувств 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описания чувств 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Экстернального</w:t>
            </w:r>
            <w:proofErr w:type="spellEnd"/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2767" w:rsidRPr="008D14FD" w:rsidTr="00132767">
        <w:trPr>
          <w:tblCellSpacing w:w="15" w:type="dxa"/>
        </w:trPr>
        <w:tc>
          <w:tcPr>
            <w:tcW w:w="0" w:type="auto"/>
            <w:vAlign w:val="center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132767" w:rsidRPr="008D14FD" w:rsidRDefault="00132767" w:rsidP="00132767">
            <w:pPr>
              <w:tabs>
                <w:tab w:val="left" w:pos="9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96062" w:rsidRPr="008D14FD" w:rsidRDefault="00296062" w:rsidP="002C5CC6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</w:p>
    <w:p w:rsidR="00296062" w:rsidRPr="008D14FD" w:rsidRDefault="00296062" w:rsidP="002C5CC6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</w:p>
    <w:p w:rsidR="0051661C" w:rsidRPr="008D14FD" w:rsidRDefault="00296062" w:rsidP="002C5CC6">
      <w:pPr>
        <w:pStyle w:val="22"/>
        <w:shd w:val="clear" w:color="auto" w:fill="auto"/>
        <w:tabs>
          <w:tab w:val="left" w:pos="910"/>
        </w:tabs>
        <w:spacing w:line="240" w:lineRule="auto"/>
        <w:ind w:firstLine="0"/>
        <w:rPr>
          <w:rFonts w:eastAsiaTheme="minorHAnsi"/>
          <w:sz w:val="24"/>
          <w:szCs w:val="24"/>
        </w:rPr>
      </w:pPr>
      <w:r w:rsidRPr="008D14FD">
        <w:rPr>
          <w:rFonts w:eastAsiaTheme="minorHAnsi"/>
          <w:sz w:val="24"/>
          <w:szCs w:val="24"/>
        </w:rPr>
        <w:t xml:space="preserve"> По итогу тестирования, в контрольной работе, необходимо представить таблицы (3) и (4), а также данные полученные в ходе беседы с испытуемым.</w:t>
      </w:r>
      <w:bookmarkStart w:id="0" w:name="_GoBack"/>
      <w:bookmarkEnd w:id="0"/>
    </w:p>
    <w:sectPr w:rsidR="0051661C" w:rsidRPr="008D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191"/>
    <w:multiLevelType w:val="hybridMultilevel"/>
    <w:tmpl w:val="68E6D73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B25E6D"/>
    <w:multiLevelType w:val="hybridMultilevel"/>
    <w:tmpl w:val="6F36E0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FFD5714"/>
    <w:multiLevelType w:val="hybridMultilevel"/>
    <w:tmpl w:val="A6FA2FF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3E"/>
    <w:rsid w:val="00132767"/>
    <w:rsid w:val="00250A6E"/>
    <w:rsid w:val="00296062"/>
    <w:rsid w:val="002C5CC6"/>
    <w:rsid w:val="0051661C"/>
    <w:rsid w:val="0074583E"/>
    <w:rsid w:val="0078056F"/>
    <w:rsid w:val="008D14FD"/>
    <w:rsid w:val="009229A1"/>
    <w:rsid w:val="00993AFA"/>
    <w:rsid w:val="00C2067A"/>
    <w:rsid w:val="00C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0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C5CC6"/>
    <w:pPr>
      <w:keepNext/>
      <w:widowControl w:val="0"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WenQuanYi Micro Hei" w:hAnsi="Times New Roman" w:cs="Lohit Hindi"/>
      <w:kern w:val="1"/>
      <w:sz w:val="28"/>
      <w:szCs w:val="2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20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C242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20E"/>
    <w:pPr>
      <w:widowControl w:val="0"/>
      <w:shd w:val="clear" w:color="auto" w:fill="FFFFFF"/>
      <w:spacing w:after="0" w:line="230" w:lineRule="exact"/>
      <w:ind w:hanging="2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rsid w:val="002C5CC6"/>
    <w:rPr>
      <w:rFonts w:ascii="Times New Roman" w:eastAsia="WenQuanYi Micro Hei" w:hAnsi="Times New Roman" w:cs="Lohit Hindi"/>
      <w:kern w:val="1"/>
      <w:sz w:val="28"/>
      <w:szCs w:val="28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0E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C5CC6"/>
    <w:pPr>
      <w:keepNext/>
      <w:widowControl w:val="0"/>
      <w:tabs>
        <w:tab w:val="num" w:pos="0"/>
      </w:tabs>
      <w:suppressAutoHyphens/>
      <w:spacing w:after="0" w:line="240" w:lineRule="auto"/>
      <w:ind w:left="576" w:hanging="576"/>
      <w:outlineLvl w:val="1"/>
    </w:pPr>
    <w:rPr>
      <w:rFonts w:ascii="Times New Roman" w:eastAsia="WenQuanYi Micro Hei" w:hAnsi="Times New Roman" w:cs="Lohit Hindi"/>
      <w:kern w:val="1"/>
      <w:sz w:val="28"/>
      <w:szCs w:val="28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20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C242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20E"/>
    <w:pPr>
      <w:widowControl w:val="0"/>
      <w:shd w:val="clear" w:color="auto" w:fill="FFFFFF"/>
      <w:spacing w:after="0" w:line="230" w:lineRule="exact"/>
      <w:ind w:hanging="2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rsid w:val="002C5CC6"/>
    <w:rPr>
      <w:rFonts w:ascii="Times New Roman" w:eastAsia="WenQuanYi Micro Hei" w:hAnsi="Times New Roman" w:cs="Lohit Hindi"/>
      <w:kern w:val="1"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214">
          <w:marLeft w:val="0"/>
          <w:marRight w:val="0"/>
          <w:marTop w:val="100"/>
          <w:marBottom w:val="10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012119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Diakov</cp:lastModifiedBy>
  <cp:revision>2</cp:revision>
  <dcterms:created xsi:type="dcterms:W3CDTF">2021-11-24T12:35:00Z</dcterms:created>
  <dcterms:modified xsi:type="dcterms:W3CDTF">2021-11-24T12:35:00Z</dcterms:modified>
</cp:coreProperties>
</file>